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9"/>
          <w:tab w:val="left" w:pos="7230" w:leader="none"/>
        </w:tabs>
        <w:rPr/>
      </w:pPr>
      <w:r>
        <w:rPr/>
        <w:t xml:space="preserve">Nr. </w:t>
      </w:r>
      <w:r>
        <w:rPr/>
        <w:t>26</w:t>
      </w:r>
      <w:r>
        <w:rPr/>
        <w:t>/</w:t>
      </w:r>
      <w:r>
        <w:rPr/>
        <w:t>01</w:t>
      </w:r>
      <w:r>
        <w:rPr/>
        <w:tab/>
        <w:t xml:space="preserve">Datum: </w:t>
      </w:r>
      <w:r>
        <w:rPr/>
        <w:t>1</w:t>
      </w:r>
      <w:r>
        <w:rPr/>
        <w:t>9</w:t>
      </w:r>
      <w:r>
        <w:rPr/>
        <w:t>.02.2026</w:t>
      </w:r>
      <w:r>
        <w:rPr/>
        <w:t xml:space="preserve"> </w:t>
      </w:r>
    </w:p>
    <w:p>
      <w:pPr>
        <w:pStyle w:val="Thema"/>
        <w:ind w:left="0" w:right="0" w:hanging="0"/>
        <w:rPr/>
      </w:pPr>
      <w:r>
        <w:rPr/>
      </w:r>
    </w:p>
    <w:p>
      <w:pPr>
        <w:pStyle w:val="Thema"/>
        <w:ind w:left="0" w:right="0" w:hanging="0"/>
        <w:rPr/>
      </w:pPr>
      <w:r>
        <w:rPr/>
      </w:r>
    </w:p>
    <w:p>
      <w:pPr>
        <w:pStyle w:val="Thema"/>
        <w:ind w:left="0" w:right="0" w:hanging="0"/>
        <w:rPr/>
      </w:pPr>
      <w:r>
        <w:rPr/>
        <w:t>The</w:t>
      </w:r>
      <w:r>
        <w:rPr/>
        <w:t xml:space="preserve">ma: Benefiz-Tischtennisturnier </w:t>
      </w:r>
    </w:p>
    <w:p>
      <w:pPr>
        <w:pStyle w:val="Normal"/>
        <w:rPr/>
      </w:pPr>
      <w:r>
        <w:rPr/>
      </w:r>
    </w:p>
    <w:p>
      <w:pPr>
        <w:pStyle w:val="Berschrift1"/>
        <w:rPr/>
      </w:pPr>
      <w:r>
        <w:rPr/>
        <w:t>„</w:t>
      </w:r>
      <w:r>
        <w:rPr/>
        <w:t>Gemeinsam punkten, gemeinsam helfen“: Startschuss für die Team-Registrierung zum 1. hartech Benefiz-Tischtennis-Cup</w:t>
      </w:r>
    </w:p>
    <w:p>
      <w:pPr>
        <w:pStyle w:val="Normal"/>
        <w:rPr/>
      </w:pPr>
      <w:r>
        <w:rPr/>
      </w:r>
    </w:p>
    <w:p>
      <w:pPr>
        <w:pStyle w:val="Normal"/>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765" cy="1529715"/>
            <wp:effectExtent l="0" t="0" r="0" b="0"/>
            <wp:wrapSquare wrapText="largest"/>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2"/>
                    <a:stretch>
                      <a:fillRect/>
                    </a:stretch>
                  </pic:blipFill>
                  <pic:spPr bwMode="auto">
                    <a:xfrm>
                      <a:off x="0" y="0"/>
                      <a:ext cx="6120765" cy="1529715"/>
                    </a:xfrm>
                    <a:prstGeom prst="rect">
                      <a:avLst/>
                    </a:prstGeom>
                  </pic:spPr>
                </pic:pic>
              </a:graphicData>
            </a:graphic>
          </wp:anchor>
        </w:drawing>
      </w:r>
      <w:r>
        <w:rPr/>
        <w:br/>
        <w:t xml:space="preserve">Saarbrücken. Eine starke Allianz aus Sport und Wirtschaft formiert sich im Saarland: Der Saarländische Tischtennisbund (STTB) und „Der Mittelstand. BVMW“ kooperieren für den 1. hartech Benefiz-Tischtennis-Cup, der am 30. Mai 2026 in Saarbrücken stattfinden wird. Im Rahmen der Initiative UTUTUGU – Unternehmertum tut gut – rufen die Organisatoren jetzt zu einer doppelten Aktion auf: </w:t>
      </w:r>
      <w:r>
        <w:rPr>
          <w:b/>
          <w:bCs/>
        </w:rPr>
        <w:t>Firmen können ihre Teams ab sofort vormerken lassen</w:t>
      </w:r>
      <w:r>
        <w:rPr/>
        <w:t xml:space="preserve">, während sich </w:t>
      </w:r>
      <w:r>
        <w:rPr>
          <w:b/>
          <w:bCs/>
        </w:rPr>
        <w:t>gemeinnützige Organisationen als Spendenempfänger in Stellung bringen</w:t>
      </w:r>
      <w:r>
        <w:rPr/>
        <w:t>.</w:t>
      </w:r>
    </w:p>
    <w:p>
      <w:pPr>
        <w:pStyle w:val="Normal"/>
        <w:rPr/>
      </w:pPr>
      <w:r>
        <w:rPr/>
      </w:r>
    </w:p>
    <w:p>
      <w:pPr>
        <w:pStyle w:val="Normal"/>
        <w:rPr>
          <w:b/>
          <w:b/>
          <w:bCs/>
        </w:rPr>
      </w:pPr>
      <w:r>
        <w:rPr>
          <w:b/>
          <w:bCs/>
        </w:rPr>
        <w:t>Aufruf an Unternehmen: Jetzt unverbindlich Flagge zeigen</w:t>
      </w:r>
    </w:p>
    <w:p>
      <w:pPr>
        <w:pStyle w:val="Normal"/>
        <w:rPr/>
      </w:pPr>
      <w:r>
        <w:rPr/>
        <w:t>Ab sofort ist die Registrierung für Firmenteams geöffnet. Um die Hürde für interessierte Unternehmen so niedrig wie möglich zu halten, ist der erste Schritt ganz einfach: „Wir laden Firmen ein, sich jetzt kostenlos auf unserer Plattform zu registrieren, um ihr generelles Interesse zu bekunden und Teil der Bewegung zu werden“, erklären die Organisatoren.</w:t>
      </w:r>
    </w:p>
    <w:p>
      <w:pPr>
        <w:pStyle w:val="Normal"/>
        <w:rPr/>
      </w:pPr>
      <w:r>
        <w:rPr/>
        <w:t xml:space="preserve">Die Unternehmen haben so Zeit, intern ihre Mannschaften zu formieren. Die eigentliche Startgebühr </w:t>
      </w:r>
      <w:r>
        <w:rPr/>
        <w:t>von 100.- Euro pro Start</w:t>
      </w:r>
      <w:r>
        <w:rPr/>
        <w:t xml:space="preserve"> wird erst fällig, wenn die Mannschaftsmeldung im zweiten Schritt verbindlich bestätigt wird. Es geht jetzt darum, dabei zu sein und ein Zeichen für das Saarland zu setzen: </w:t>
      </w:r>
      <w:r>
        <w:rPr/>
        <w:t>Darum wird die Startgebühr zu 100% für den guten Zweck verwendet</w:t>
      </w:r>
      <w:r>
        <w:rPr/>
        <w:t>.</w:t>
      </w:r>
    </w:p>
    <w:p>
      <w:pPr>
        <w:pStyle w:val="Normal"/>
        <w:rPr/>
      </w:pPr>
      <w:r>
        <w:rPr/>
      </w:r>
    </w:p>
    <w:p>
      <w:pPr>
        <w:pStyle w:val="Normal"/>
        <w:rPr>
          <w:b/>
          <w:b/>
          <w:bCs/>
        </w:rPr>
      </w:pPr>
      <w:r>
        <w:rPr>
          <w:b/>
          <w:bCs/>
        </w:rPr>
        <w:t>Jeder Punkt zählt doppelt – für den guten Zweck</w:t>
      </w:r>
    </w:p>
    <w:p>
      <w:pPr>
        <w:pStyle w:val="Normal"/>
        <w:rPr/>
      </w:pPr>
      <w:r>
        <w:rPr/>
        <w:t>Das Konzept des Turniers ist so simpel wie effektiv: Firmenteams aus der ganzen Region treten im Tischtennis gegeneinander an. Dabei zählt der sportliche Erfolg nicht nur für die Tabelle, sondern direkt für das Gemeinwohl. Jeder erspielte Punkt wird monetarisiert: Jeder Sieg eines Firmenteams wird in eine Geldspende umgewandelt.</w:t>
        <w:br/>
      </w:r>
    </w:p>
    <w:p>
      <w:pPr>
        <w:pStyle w:val="Normal"/>
        <w:rPr/>
      </w:pPr>
      <w:r>
        <w:rPr/>
      </w:r>
    </w:p>
    <w:p>
      <w:pPr>
        <w:pStyle w:val="Normal"/>
        <w:rPr>
          <w:b/>
          <w:b/>
          <w:bCs/>
        </w:rPr>
      </w:pPr>
      <w:r>
        <w:rPr>
          <w:b/>
          <w:bCs/>
        </w:rPr>
        <w:t>Soziale Projekte gesucht: Werden Sie zum „Herzenszweck“</w:t>
      </w:r>
    </w:p>
    <w:p>
      <w:pPr>
        <w:pStyle w:val="Normal"/>
        <w:rPr/>
      </w:pPr>
      <w:r>
        <w:rPr/>
        <w:t>Damit die erspielten Gelder dort ankommen, wo sie dringend benötigt werden, brauchen die teilnehmenden Firmen konkrete Partner. Parallel zum Aufruf an die Wirtschaft laden die Veranstalter alle gemeinnützigen Organisationen, Vereine und sozialen Träger ein, sich ebenfalls kostenlos auf der Webseite zu präsentieren. Auf der Plattform UTUTUGU.de können sich Hilfsprojekte eintragen, damit die teilnehmenden Firmen sie entdecken und als ihren persönlichen „Herzenszweck“ auswählen können, für den sie beim Turnier antreten.</w:t>
      </w:r>
    </w:p>
    <w:p>
      <w:pPr>
        <w:pStyle w:val="Normal"/>
        <w:rPr/>
      </w:pPr>
      <w:r>
        <w:rPr/>
      </w:r>
    </w:p>
    <w:p>
      <w:pPr>
        <w:pStyle w:val="Normal"/>
        <w:rPr>
          <w:b/>
          <w:b/>
          <w:bCs/>
        </w:rPr>
      </w:pPr>
      <w:r>
        <w:rPr>
          <w:b/>
          <w:bCs/>
        </w:rPr>
        <w:t>Vernetzung schon vor dem ersten Aufschlag</w:t>
      </w:r>
    </w:p>
    <w:p>
      <w:pPr>
        <w:pStyle w:val="Normal"/>
        <w:rPr/>
      </w:pPr>
      <w:r>
        <w:rPr/>
        <w:t xml:space="preserve">Die Initiative bietet zudem die Möglichkeit, dass Wirtschaft und Ehrenamt schon weit vor dem eigentlichen Turnier in den Dialog treten. Im Rahmen von Netzwerkveranstaltungen können sich Unternehmen und gemeinnützige Organisationen persönlich kennenlernen und Synergien bilden. Eine erste Gelegenheit dazu bietet sich bereits am </w:t>
      </w:r>
      <w:r>
        <w:rPr>
          <w:b/>
          <w:bCs/>
        </w:rPr>
        <w:t>25. Februar 2026 um 18:00 Uhr im Brauhaus in Schmelz</w:t>
      </w:r>
      <w:r>
        <w:rPr/>
        <w:t>. Interessierte Firmenvertreter und Vertreter von sozialen Projekten sind herzlich eingeladen, dort erste Kontakte zu knüpfen – vielleicht findet hier schon das erste Team seinen Paten-Verein.</w:t>
      </w:r>
    </w:p>
    <w:p>
      <w:pPr>
        <w:pStyle w:val="Normal"/>
        <w:rPr/>
      </w:pPr>
      <w:r>
        <w:rPr/>
      </w:r>
    </w:p>
    <w:p>
      <w:pPr>
        <w:pStyle w:val="Normal"/>
        <w:rPr/>
      </w:pPr>
      <w:r>
        <w:rPr/>
        <w:t xml:space="preserve">Interessierte Organisationen und Unternehmen finden alle Informationen und die Registrierung unter: </w:t>
      </w:r>
      <w:hyperlink r:id="rId3">
        <w:r>
          <w:rPr>
            <w:rStyle w:val="Internetverknpfung"/>
            <w:b/>
            <w:bCs/>
          </w:rPr>
          <w:t>https://ututugu.de</w:t>
        </w:r>
      </w:hyperlink>
    </w:p>
    <w:p>
      <w:pPr>
        <w:pStyle w:val="Normal"/>
        <w:rPr/>
      </w:pPr>
      <w:r>
        <w:rPr/>
      </w:r>
    </w:p>
    <w:p>
      <w:pPr>
        <w:pStyle w:val="Normal"/>
        <w:rPr>
          <w:b/>
          <w:b/>
          <w:bCs/>
          <w:i/>
          <w:i/>
          <w:iCs/>
        </w:rPr>
      </w:pPr>
      <w:r>
        <w:rPr>
          <w:b/>
          <w:bCs/>
          <w:i/>
          <w:iCs/>
        </w:rPr>
        <w:t>Über die Initiative UTUTUGU:</w:t>
      </w:r>
    </w:p>
    <w:p>
      <w:pPr>
        <w:pStyle w:val="Normal"/>
        <w:rPr>
          <w:b/>
          <w:b/>
          <w:bCs/>
          <w:i/>
          <w:i/>
          <w:iCs/>
        </w:rPr>
      </w:pPr>
      <w:r>
        <w:rPr>
          <w:b/>
          <w:bCs/>
          <w:i/>
          <w:iCs/>
        </w:rPr>
        <w:t>„</w:t>
      </w:r>
      <w:r>
        <w:rPr>
          <w:b/>
          <w:bCs/>
          <w:i/>
          <w:iCs/>
        </w:rPr>
        <w:t>UTUTUGU – Unternehmertum tut gut“ ist eine Initiative von „Der Mittelstand. BVMW“ im Saarland. Sie setzt ein öffentliches Zeichen dafür, dass der Mittelstand der tragende Pfeiler unserer Gesellschaft ist. Ob Sportvereine oder soziale Einrichtungen – ohne das Engagement mittelständischer Firmen würde vieles im Gemeinwesen nicht funktionieren. Der Mittelstand investiert in der Heimat, sichert Arbeitsplätze und hält unsere Innenstädte am Leben. UTUTUGU macht diese Verantwortung sichtbar und vernetzt engagierte Unternehmer mit gesellschaftlichen Akteuren.</w:t>
      </w:r>
    </w:p>
    <w:p>
      <w:pPr>
        <w:pStyle w:val="Normal"/>
        <w:rPr/>
      </w:pPr>
      <w:r>
        <w:rPr/>
      </w:r>
    </w:p>
    <w:p>
      <w:pPr>
        <w:pStyle w:val="Normal"/>
        <w:rPr/>
      </w:pPr>
      <w:r>
        <w:rPr/>
        <w:t>Pressekontakt:</w:t>
      </w:r>
    </w:p>
    <w:p>
      <w:pPr>
        <w:pStyle w:val="Normal"/>
        <w:rPr/>
      </w:pPr>
      <w:r>
        <w:rPr/>
        <w:t>Holger Peifer, Repräsentant des Verbandes</w:t>
      </w:r>
    </w:p>
    <w:p>
      <w:pPr>
        <w:pStyle w:val="Normal"/>
        <w:rPr/>
      </w:pPr>
      <w:r>
        <w:rPr/>
        <w:t>+49 681 9406 4448</w:t>
      </w:r>
    </w:p>
    <w:p>
      <w:pPr>
        <w:pStyle w:val="Normal"/>
        <w:rPr/>
      </w:pPr>
      <w:r>
        <w:rPr/>
        <w:t>holger.peifer@bvmw.de</w:t>
      </w:r>
    </w:p>
    <w:sectPr>
      <w:headerReference w:type="default" r:id="rId4"/>
      <w:footerReference w:type="default" r:id="rId5"/>
      <w:type w:val="nextPage"/>
      <w:pgSz w:w="11906" w:h="16838"/>
      <w:pgMar w:left="1134" w:right="1133" w:gutter="0" w:header="567" w:top="2415" w:footer="850" w:bottom="1134"/>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w:charset w:val="01"/>
    <w:family w:val="roman"/>
    <w:pitch w:val="variable"/>
  </w:font>
  <w:font w:name="Consolas">
    <w:charset w:val="01"/>
    <w:family w:val="roman"/>
    <w:pitch w:val="variable"/>
  </w:font>
  <w:font w:name="Tahoma">
    <w:charset w:val="01"/>
    <w:family w:val="roman"/>
    <w:pitch w:val="variable"/>
  </w:font>
  <w:font w:name="Liberation Sans">
    <w:altName w:val="Arial"/>
    <w:charset w:val="01"/>
    <w:family w:val="swiss"/>
    <w:pitch w:val="variable"/>
  </w:font>
  <w:font w:name="Trebuchet M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drawing>
        <wp:anchor behindDoc="1" distT="0" distB="0" distL="0" distR="0" simplePos="0" locked="0" layoutInCell="0" allowOverlap="1" relativeHeight="5">
          <wp:simplePos x="0" y="0"/>
          <wp:positionH relativeFrom="page">
            <wp:align>center</wp:align>
          </wp:positionH>
          <wp:positionV relativeFrom="page">
            <wp:posOffset>9721215</wp:posOffset>
          </wp:positionV>
          <wp:extent cx="3221990" cy="118745"/>
          <wp:effectExtent l="0" t="0" r="0" b="0"/>
          <wp:wrapNone/>
          <wp:docPr id="4"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 descr=""/>
                  <pic:cNvPicPr>
                    <a:picLocks noChangeAspect="1" noChangeArrowheads="1"/>
                  </pic:cNvPicPr>
                </pic:nvPicPr>
                <pic:blipFill>
                  <a:blip r:embed="rId1"/>
                  <a:stretch>
                    <a:fillRect/>
                  </a:stretch>
                </pic:blipFill>
                <pic:spPr bwMode="auto">
                  <a:xfrm>
                    <a:off x="0" y="0"/>
                    <a:ext cx="3221990" cy="118745"/>
                  </a:xfrm>
                  <a:prstGeom prst="rect">
                    <a:avLst/>
                  </a:prstGeom>
                </pic:spPr>
              </pic:pic>
            </a:graphicData>
          </a:graphic>
        </wp:anchor>
      </w:drawing>
    </w:r>
  </w:p>
  <w:p>
    <w:pPr>
      <w:pStyle w:val="Fuzeile1"/>
      <w:rPr/>
    </w:pPr>
    <w:r>
      <w:rPr/>
    </w:r>
  </w:p>
  <w:p>
    <w:pPr>
      <w:pStyle w:val="Fuzeile1"/>
      <w:rPr/>
    </w:pPr>
    <w:r>
      <w:rPr/>
      <w:t>Rheinland-Pfalz - Saarland</w:t>
    </w:r>
    <w:r>
      <w:rPr/>
      <w:t xml:space="preserve"> · </w:t>
    </w:r>
    <w:r>
      <w:rPr/>
      <w:t>Holger Mathias Peifer</w:t>
    </w:r>
    <w:r>
      <w:rPr/>
      <w:t xml:space="preserve"> · </w:t>
    </w:r>
    <w:r>
      <w:rPr/>
      <w:t>Heidenkopferdell 2</w:t>
    </w:r>
    <w:r>
      <w:rPr/>
      <w:t xml:space="preserve"> · </w:t>
    </w:r>
    <w:r>
      <w:rPr/>
      <w:t>66123</w:t>
    </w:r>
    <w:r>
      <w:rPr/>
      <w:t xml:space="preserve"> </w:t>
    </w:r>
    <w:r>
      <w:rPr/>
      <w:t>Saarbrücken</w:t>
    </w:r>
  </w:p>
  <w:p>
    <w:pPr>
      <w:pStyle w:val="Fuzeile1"/>
      <w:rPr/>
    </w:pPr>
    <w:r>
      <w:rPr/>
      <w:t xml:space="preserve">Telefon: </w:t>
    </w:r>
    <w:r>
      <w:rPr/>
      <w:t>+49 681 9406 4448</w:t>
    </w:r>
    <w:r>
      <w:rPr/>
      <w:t xml:space="preserve"> · E-Mail: </w:t>
    </w:r>
    <w:r>
      <w:rPr/>
      <w:t>holger.peifer</w:t>
    </w:r>
    <w:r>
      <w:rPr/>
      <w:t>@bvmw.de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before="280" w:after="280"/>
      <w:rPr/>
    </w:pPr>
    <w:r>
      <w:rPr/>
      <w:drawing>
        <wp:anchor behindDoc="1" distT="0" distB="0" distL="0" distR="0" simplePos="0" locked="0" layoutInCell="0" allowOverlap="1" relativeHeight="7">
          <wp:simplePos x="0" y="0"/>
          <wp:positionH relativeFrom="column">
            <wp:posOffset>4453255</wp:posOffset>
          </wp:positionH>
          <wp:positionV relativeFrom="paragraph">
            <wp:posOffset>-6985</wp:posOffset>
          </wp:positionV>
          <wp:extent cx="1800225" cy="1080135"/>
          <wp:effectExtent l="0" t="0" r="0" b="0"/>
          <wp:wrapNone/>
          <wp:docPr id="2"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descr=""/>
                  <pic:cNvPicPr>
                    <a:picLocks noChangeAspect="1" noChangeArrowheads="1"/>
                  </pic:cNvPicPr>
                </pic:nvPicPr>
                <pic:blipFill>
                  <a:blip r:embed="rId1"/>
                  <a:stretch>
                    <a:fillRect/>
                  </a:stretch>
                </pic:blipFill>
                <pic:spPr bwMode="auto">
                  <a:xfrm>
                    <a:off x="0" y="0"/>
                    <a:ext cx="1800225" cy="1080135"/>
                  </a:xfrm>
                  <a:prstGeom prst="rect">
                    <a:avLst/>
                  </a:prstGeom>
                </pic:spPr>
              </pic:pic>
            </a:graphicData>
          </a:graphic>
        </wp:anchor>
      </w:drawing>
    </w:r>
  </w:p>
  <w:p>
    <w:pPr>
      <w:pStyle w:val="Normal"/>
      <w:rPr/>
    </w:pPr>
    <w:r>
      <w:rPr/>
    </w:r>
  </w:p>
  <w:p>
    <w:pPr>
      <w:pStyle w:val="NormalWeb"/>
      <w:spacing w:before="280" w:after="280"/>
      <w:rPr/>
    </w:pPr>
    <w:r>
      <w:rPr/>
      <w:tab/>
    </w:r>
  </w:p>
  <w:p>
    <w:pPr>
      <w:pStyle w:val="Normal"/>
      <w:tabs>
        <w:tab w:val="clear" w:pos="709"/>
        <w:tab w:val="left" w:pos="8730" w:leader="none"/>
      </w:tabs>
      <w:rPr/>
    </w:pPr>
    <w:r>
      <w:rPr/>
      <w:drawing>
        <wp:anchor behindDoc="1" distT="0" distB="0" distL="0" distR="0" simplePos="0" locked="0" layoutInCell="0" allowOverlap="1" relativeHeight="3">
          <wp:simplePos x="0" y="0"/>
          <wp:positionH relativeFrom="page">
            <wp:posOffset>720090</wp:posOffset>
          </wp:positionH>
          <wp:positionV relativeFrom="page">
            <wp:posOffset>521970</wp:posOffset>
          </wp:positionV>
          <wp:extent cx="3747770" cy="353060"/>
          <wp:effectExtent l="0" t="0" r="0" b="0"/>
          <wp:wrapNone/>
          <wp:docPr id="3"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
                  <pic:cNvPicPr>
                    <a:picLocks noChangeAspect="1" noChangeArrowheads="1"/>
                  </pic:cNvPicPr>
                </pic:nvPicPr>
                <pic:blipFill>
                  <a:blip r:embed="rId2"/>
                  <a:srcRect l="7514" t="25767" r="10902" b="18877"/>
                  <a:stretch>
                    <a:fillRect/>
                  </a:stretch>
                </pic:blipFill>
                <pic:spPr bwMode="auto">
                  <a:xfrm>
                    <a:off x="0" y="0"/>
                    <a:ext cx="3747770" cy="353060"/>
                  </a:xfrm>
                  <a:prstGeom prst="rect">
                    <a:avLst/>
                  </a:prstGeom>
                </pic:spPr>
              </pic:pic>
            </a:graphicData>
          </a:graphic>
        </wp:anchor>
      </w:drawing>
    </w:r>
    <w:r>
      <w:rPr/>
      <w:tab/>
    </w:r>
  </w:p>
  <w:p>
    <w:pPr>
      <w:pStyle w:val="Normal"/>
      <w:rPr>
        <w:color w:val="878983"/>
        <w:sz w:val="22"/>
        <w:szCs w:val="22"/>
      </w:rPr>
    </w:pPr>
    <w:r>
      <w:rPr>
        <w:color w:val="878983"/>
        <w:sz w:val="22"/>
        <w:szCs w:val="22"/>
      </w:rPr>
    </w:r>
  </w:p>
</w:hdr>
</file>

<file path=word/settings.xml><?xml version="1.0" encoding="utf-8"?>
<w:settings xmlns:w="http://schemas.openxmlformats.org/wordprocessingml/2006/main">
  <w:zoom w:percent="193"/>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de-DE"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Arial" w:hAnsi="Arial" w:eastAsia="Cambria" w:cs="Arial"/>
      <w:color w:val="auto"/>
      <w:kern w:val="0"/>
      <w:sz w:val="24"/>
      <w:szCs w:val="24"/>
      <w:lang w:eastAsia="en-US" w:val="de-DE" w:bidi="ar-SA"/>
    </w:rPr>
  </w:style>
  <w:style w:type="paragraph" w:styleId="Berschrift1">
    <w:name w:val="Heading 1"/>
    <w:basedOn w:val="Normal"/>
    <w:link w:val="Berschrift1Zchn"/>
    <w:qFormat/>
    <w:pPr>
      <w:numPr>
        <w:ilvl w:val="0"/>
        <w:numId w:val="0"/>
      </w:numPr>
      <w:outlineLvl w:val="0"/>
    </w:pPr>
    <w:rPr>
      <w:b/>
      <w:sz w:val="28"/>
      <w:szCs w:val="28"/>
    </w:rPr>
  </w:style>
  <w:style w:type="character" w:styleId="DefaultParagraphFont">
    <w:name w:val="Default Paragraph Font"/>
    <w:qFormat/>
    <w:rPr/>
  </w:style>
  <w:style w:type="character" w:styleId="AbsatzStandardschriftart1">
    <w:name w:val="Absatz-Standardschriftart1"/>
    <w:qFormat/>
    <w:rPr/>
  </w:style>
  <w:style w:type="character" w:styleId="Funotenzeichen1">
    <w:name w:val="Fußnotenzeichen1"/>
    <w:qFormat/>
    <w:rPr>
      <w:vertAlign w:val="superscript"/>
    </w:rPr>
  </w:style>
  <w:style w:type="character" w:styleId="Internetverknpfung">
    <w:name w:val="Internetverknüpfung"/>
    <w:rPr>
      <w:color w:val="0000FF"/>
      <w:u w:val="single"/>
    </w:rPr>
  </w:style>
  <w:style w:type="character" w:styleId="BesuchterHyperlink1">
    <w:name w:val="BesuchterHyperlink1"/>
    <w:qFormat/>
    <w:rPr>
      <w:color w:val="800080"/>
      <w:u w:val="single"/>
    </w:rPr>
  </w:style>
  <w:style w:type="character" w:styleId="Appleconvertedspace">
    <w:name w:val="apple-converted-space"/>
    <w:qFormat/>
    <w:rPr/>
  </w:style>
  <w:style w:type="character" w:styleId="TextkrperZchn">
    <w:name w:val="Textkörper Zchn"/>
    <w:qFormat/>
    <w:rPr>
      <w:rFonts w:ascii="Arial" w:hAnsi="Arial"/>
      <w:szCs w:val="24"/>
    </w:rPr>
  </w:style>
  <w:style w:type="character" w:styleId="NurTextZchn">
    <w:name w:val="Nur Text Zchn"/>
    <w:link w:val="PlainText"/>
    <w:qFormat/>
    <w:rPr>
      <w:rFonts w:ascii="Calibri" w:hAnsi="Calibri" w:eastAsia="Calibri"/>
      <w:sz w:val="22"/>
      <w:szCs w:val="22"/>
      <w:lang w:eastAsia="en-US"/>
    </w:rPr>
  </w:style>
  <w:style w:type="character" w:styleId="KopfzeileZchn">
    <w:name w:val="Kopfzeile Zchn"/>
    <w:basedOn w:val="DefaultParagraphFont"/>
    <w:qFormat/>
    <w:rPr/>
  </w:style>
  <w:style w:type="character" w:styleId="FuzeileZchn">
    <w:name w:val="Fußzeile Zchn"/>
    <w:basedOn w:val="DefaultParagraphFont"/>
    <w:qFormat/>
    <w:rPr/>
  </w:style>
  <w:style w:type="character" w:styleId="NurTextZchn1">
    <w:name w:val="Nur Text Zchn1"/>
    <w:qFormat/>
    <w:rPr>
      <w:rFonts w:ascii="Consolas" w:hAnsi="Consolas"/>
      <w:sz w:val="21"/>
      <w:szCs w:val="21"/>
    </w:rPr>
  </w:style>
  <w:style w:type="character" w:styleId="SprechblasentextZchn">
    <w:name w:val="Sprechblasentext Zchn"/>
    <w:link w:val="BalloonText"/>
    <w:qFormat/>
    <w:rPr>
      <w:rFonts w:ascii="Tahoma" w:hAnsi="Tahoma" w:cs="Tahoma"/>
      <w:sz w:val="16"/>
      <w:szCs w:val="16"/>
    </w:rPr>
  </w:style>
  <w:style w:type="character" w:styleId="S3">
    <w:name w:val="s3"/>
    <w:basedOn w:val="DefaultParagraphFont"/>
    <w:qFormat/>
    <w:rPr/>
  </w:style>
  <w:style w:type="character" w:styleId="S4">
    <w:name w:val="s4"/>
    <w:basedOn w:val="DefaultParagraphFont"/>
    <w:qFormat/>
    <w:rPr/>
  </w:style>
  <w:style w:type="character" w:styleId="Bumpedfont15">
    <w:name w:val="bumpedfont15"/>
    <w:basedOn w:val="DefaultParagraphFont"/>
    <w:qFormat/>
    <w:rPr/>
  </w:style>
  <w:style w:type="character" w:styleId="Annotationreference">
    <w:name w:val="annotation reference"/>
    <w:qFormat/>
    <w:rPr>
      <w:sz w:val="16"/>
      <w:szCs w:val="16"/>
    </w:rPr>
  </w:style>
  <w:style w:type="character" w:styleId="KommentartextZchn">
    <w:name w:val="Kommentartext Zchn"/>
    <w:link w:val="Annotationtext"/>
    <w:qFormat/>
    <w:rPr>
      <w:rFonts w:ascii="Arial" w:hAnsi="Arial" w:eastAsia="Cambria"/>
      <w:lang w:eastAsia="en-US"/>
    </w:rPr>
  </w:style>
  <w:style w:type="character" w:styleId="KommentarthemaZchn">
    <w:name w:val="Kommentarthema Zchn"/>
    <w:link w:val="Annotationsubject"/>
    <w:qFormat/>
    <w:rPr>
      <w:rFonts w:ascii="Arial" w:hAnsi="Arial" w:eastAsia="Cambria"/>
      <w:b/>
      <w:bCs/>
      <w:lang w:eastAsia="en-US"/>
    </w:rPr>
  </w:style>
  <w:style w:type="character" w:styleId="Berschrift1Zchn">
    <w:name w:val="Überschrift 1 Zchn"/>
    <w:qFormat/>
    <w:rPr>
      <w:rFonts w:ascii="Arial" w:hAnsi="Arial" w:cs="Arial"/>
      <w:b/>
      <w:sz w:val="28"/>
      <w:szCs w:val="28"/>
    </w:rPr>
  </w:style>
  <w:style w:type="character" w:styleId="BesuchteInternetverknpfung">
    <w:name w:val="Besuchte Internetverknüpfung"/>
    <w:rPr>
      <w:color w:val="954F72"/>
      <w:u w:val="single"/>
    </w:rPr>
  </w:style>
  <w:style w:type="character" w:styleId="Underline">
    <w:name w:val="underline"/>
    <w:basedOn w:val="DefaultParagraphFont"/>
    <w:qFormat/>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NummerundDatum">
    <w:name w:val="Nummer und Datum"/>
    <w:basedOn w:val="Normal"/>
    <w:qFormat/>
    <w:pPr>
      <w:tabs>
        <w:tab w:val="clear" w:pos="709"/>
        <w:tab w:val="left" w:pos="6946" w:leader="none"/>
      </w:tabs>
    </w:pPr>
    <w:rPr/>
  </w:style>
  <w:style w:type="paragraph" w:styleId="Sprechblasentext1">
    <w:name w:val="Sprechblasentext1"/>
    <w:basedOn w:val="Normal"/>
    <w:qFormat/>
    <w:pPr>
      <w:suppressAutoHyphens w:val="true"/>
      <w:textAlignment w:val="baseline"/>
    </w:pPr>
    <w:rPr>
      <w:rFonts w:ascii="Tahoma" w:hAnsi="Tahoma" w:eastAsia="Times New Roman" w:cs="Tahoma"/>
      <w:sz w:val="16"/>
      <w:szCs w:val="16"/>
      <w:lang w:eastAsia="de-DE"/>
    </w:rPr>
  </w:style>
  <w:style w:type="paragraph" w:styleId="StandardWeb1">
    <w:name w:val="Standard (Web)1"/>
    <w:basedOn w:val="Normal"/>
    <w:qFormat/>
    <w:pPr>
      <w:suppressAutoHyphens w:val="true"/>
      <w:spacing w:before="100" w:after="100"/>
      <w:textAlignment w:val="baseline"/>
    </w:pPr>
    <w:rPr>
      <w:rFonts w:ascii="Times New Roman" w:hAnsi="Times New Roman" w:eastAsia="Times New Roman" w:cs="Times New Roman"/>
      <w:lang w:eastAsia="de-DE"/>
    </w:rPr>
  </w:style>
  <w:style w:type="paragraph" w:styleId="Fuzeile1">
    <w:name w:val="Fußzeile1"/>
    <w:basedOn w:val="Normal"/>
    <w:qFormat/>
    <w:pPr>
      <w:tabs>
        <w:tab w:val="clear" w:pos="709"/>
        <w:tab w:val="center" w:pos="4536" w:leader="none"/>
        <w:tab w:val="right" w:pos="9072" w:leader="none"/>
      </w:tabs>
      <w:suppressAutoHyphens w:val="true"/>
      <w:jc w:val="center"/>
      <w:textAlignment w:val="baseline"/>
    </w:pPr>
    <w:rPr>
      <w:rFonts w:eastAsia="Times New Roman"/>
      <w:sz w:val="16"/>
      <w:szCs w:val="16"/>
      <w:lang w:eastAsia="ar-SA"/>
    </w:rPr>
  </w:style>
  <w:style w:type="paragraph" w:styleId="Thema">
    <w:name w:val="Thema"/>
    <w:basedOn w:val="Normal"/>
    <w:qFormat/>
    <w:pPr>
      <w:pBdr>
        <w:bottom w:val="single" w:sz="4" w:space="1" w:color="000000"/>
      </w:pBdr>
      <w:suppressAutoHyphens w:val="true"/>
      <w:ind w:left="0" w:right="459" w:hanging="0"/>
      <w:textAlignment w:val="baseline"/>
    </w:pPr>
    <w:rPr>
      <w:rFonts w:eastAsia="Times New Roman"/>
      <w:lang w:eastAsia="de-DE"/>
    </w:rPr>
  </w:style>
  <w:style w:type="paragraph" w:styleId="Funotentext1">
    <w:name w:val="Fußnotentext1"/>
    <w:basedOn w:val="Normal"/>
    <w:qFormat/>
    <w:pPr>
      <w:suppressAutoHyphens w:val="true"/>
      <w:textAlignment w:val="baseline"/>
    </w:pPr>
    <w:rPr>
      <w:rFonts w:ascii="Trebuchet MS" w:hAnsi="Trebuchet MS" w:eastAsia="Times New Roman" w:cs="Times New Roman"/>
      <w:sz w:val="20"/>
      <w:szCs w:val="20"/>
      <w:lang w:eastAsia="de-DE"/>
    </w:rPr>
  </w:style>
  <w:style w:type="paragraph" w:styleId="TextkrperZeileneinzug1">
    <w:name w:val="Textkörper-Zeileneinzug1"/>
    <w:basedOn w:val="Normal"/>
    <w:qFormat/>
    <w:pPr>
      <w:tabs>
        <w:tab w:val="clear" w:pos="709"/>
        <w:tab w:val="left" w:pos="0" w:leader="none"/>
      </w:tabs>
      <w:suppressAutoHyphens w:val="true"/>
      <w:spacing w:lineRule="atLeast" w:line="320" w:before="0" w:after="120"/>
      <w:ind w:left="360" w:right="0" w:hanging="0"/>
      <w:textAlignment w:val="baseline"/>
    </w:pPr>
    <w:rPr>
      <w:rFonts w:eastAsia="Times New Roman" w:cs="Times New Roman"/>
      <w:sz w:val="22"/>
      <w:szCs w:val="20"/>
      <w:lang w:eastAsia="de-DE"/>
    </w:rPr>
  </w:style>
  <w:style w:type="paragraph" w:styleId="Kopfzeile1">
    <w:name w:val="Kopfzeile1"/>
    <w:basedOn w:val="Normal"/>
    <w:qFormat/>
    <w:pPr>
      <w:tabs>
        <w:tab w:val="clear" w:pos="709"/>
        <w:tab w:val="center" w:pos="4536" w:leader="none"/>
        <w:tab w:val="right" w:pos="9072" w:leader="none"/>
      </w:tabs>
      <w:suppressAutoHyphens w:val="true"/>
      <w:textAlignment w:val="baseline"/>
    </w:pPr>
    <w:rPr>
      <w:rFonts w:eastAsia="Times New Roman" w:cs="Times New Roman"/>
      <w:sz w:val="20"/>
      <w:lang w:eastAsia="de-DE"/>
    </w:rPr>
  </w:style>
  <w:style w:type="paragraph" w:styleId="Listenabsatz1">
    <w:name w:val="Listenabsatz1"/>
    <w:basedOn w:val="Normal"/>
    <w:qFormat/>
    <w:pPr>
      <w:suppressAutoHyphens w:val="true"/>
      <w:ind w:left="720" w:right="0" w:hanging="0"/>
      <w:textAlignment w:val="baseline"/>
    </w:pPr>
    <w:rPr>
      <w:rFonts w:eastAsia="Times New Roman" w:cs="Times New Roman"/>
      <w:sz w:val="20"/>
      <w:lang w:eastAsia="de-DE"/>
    </w:rPr>
  </w:style>
  <w:style w:type="paragraph" w:styleId="Textkrper1">
    <w:name w:val="Textkörper1"/>
    <w:basedOn w:val="Normal"/>
    <w:qFormat/>
    <w:pPr>
      <w:suppressAutoHyphens w:val="true"/>
      <w:spacing w:before="0" w:after="120"/>
      <w:textAlignment w:val="baseline"/>
    </w:pPr>
    <w:rPr>
      <w:rFonts w:eastAsia="Times New Roman" w:cs="Times New Roman"/>
      <w:sz w:val="20"/>
      <w:lang w:eastAsia="de-DE"/>
    </w:rPr>
  </w:style>
  <w:style w:type="paragraph" w:styleId="NurText1">
    <w:name w:val="Nur Text1"/>
    <w:basedOn w:val="Normal"/>
    <w:qFormat/>
    <w:pPr>
      <w:suppressAutoHyphens w:val="true"/>
      <w:textAlignment w:val="baseline"/>
    </w:pPr>
    <w:rPr>
      <w:rFonts w:ascii="Calibri" w:hAnsi="Calibri" w:eastAsia="Calibri" w:cs="Times New Roman"/>
      <w:sz w:val="22"/>
      <w:szCs w:val="22"/>
    </w:rPr>
  </w:style>
  <w:style w:type="paragraph" w:styleId="KopfundFuzeile">
    <w:name w:val="Kopf- und Fußzeile"/>
    <w:basedOn w:val="Normal"/>
    <w:qFormat/>
    <w:pPr/>
    <w:rPr/>
  </w:style>
  <w:style w:type="paragraph" w:styleId="Kopfzeile">
    <w:name w:val="Header"/>
    <w:basedOn w:val="Normal"/>
    <w:link w:val="KopfzeileZchn"/>
    <w:pPr>
      <w:tabs>
        <w:tab w:val="clear" w:pos="709"/>
        <w:tab w:val="center" w:pos="4680" w:leader="none"/>
        <w:tab w:val="right" w:pos="9360" w:leader="none"/>
      </w:tabs>
    </w:pPr>
    <w:rPr/>
  </w:style>
  <w:style w:type="paragraph" w:styleId="Fuzeile">
    <w:name w:val="Footer"/>
    <w:basedOn w:val="Normal"/>
    <w:link w:val="FuzeileZchn"/>
    <w:pPr>
      <w:tabs>
        <w:tab w:val="clear" w:pos="709"/>
        <w:tab w:val="center" w:pos="4680" w:leader="none"/>
        <w:tab w:val="right" w:pos="9360" w:leader="none"/>
      </w:tabs>
    </w:pPr>
    <w:rPr/>
  </w:style>
  <w:style w:type="paragraph" w:styleId="PlainText">
    <w:name w:val="Plain Text"/>
    <w:basedOn w:val="Normal"/>
    <w:link w:val="NurTextZchn"/>
    <w:qFormat/>
    <w:pPr/>
    <w:rPr>
      <w:rFonts w:ascii="Calibri" w:hAnsi="Calibri" w:eastAsia="Calibri"/>
      <w:sz w:val="22"/>
      <w:szCs w:val="22"/>
    </w:rPr>
  </w:style>
  <w:style w:type="paragraph" w:styleId="BalloonText">
    <w:name w:val="Balloon Text"/>
    <w:basedOn w:val="Normal"/>
    <w:link w:val="SprechblasentextZchn"/>
    <w:qFormat/>
    <w:pPr/>
    <w:rPr>
      <w:rFonts w:ascii="Tahoma" w:hAnsi="Tahoma" w:cs="Tahoma"/>
      <w:sz w:val="16"/>
      <w:szCs w:val="16"/>
    </w:rPr>
  </w:style>
  <w:style w:type="paragraph" w:styleId="ListParagraph">
    <w:name w:val="List Paragraph"/>
    <w:basedOn w:val="Normal"/>
    <w:qFormat/>
    <w:pPr>
      <w:spacing w:before="0" w:after="200"/>
      <w:ind w:left="708" w:right="0" w:hanging="0"/>
    </w:pPr>
    <w:rPr>
      <w:sz w:val="21"/>
    </w:rPr>
  </w:style>
  <w:style w:type="paragraph" w:styleId="Annotationtext">
    <w:name w:val="annotation text"/>
    <w:basedOn w:val="Normal"/>
    <w:link w:val="KommentartextZchn"/>
    <w:qFormat/>
    <w:pPr>
      <w:spacing w:before="0" w:after="200"/>
    </w:pPr>
    <w:rPr/>
  </w:style>
  <w:style w:type="paragraph" w:styleId="Annotationsubject">
    <w:name w:val="annotation subject"/>
    <w:basedOn w:val="Annotationtext"/>
    <w:next w:val="Annotationtext"/>
    <w:link w:val="KommentarthemaZchn"/>
    <w:qFormat/>
    <w:pPr>
      <w:spacing w:before="0" w:after="0"/>
      <w:textAlignment w:val="baseline"/>
    </w:pPr>
    <w:rPr>
      <w:rFonts w:ascii="Times New Roman" w:hAnsi="Times New Roman" w:eastAsia="Times New Roman"/>
      <w:b/>
      <w:bCs/>
      <w:lang w:eastAsia="de-DE"/>
    </w:rPr>
  </w:style>
  <w:style w:type="paragraph" w:styleId="NormalWeb">
    <w:name w:val="Normal (Web)"/>
    <w:basedOn w:val="Normal"/>
    <w:qFormat/>
    <w:pPr>
      <w:spacing w:before="280" w:after="280"/>
    </w:pPr>
    <w:rPr>
      <w:rFonts w:ascii="Times New Roman" w:hAnsi="Times New Roman" w:eastAsia="Times New Roman" w:cs="Times New Roman"/>
      <w:lang w:eastAsia="de-D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ututugu.de/"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Pressemitteilung</Template>
  <TotalTime>17</TotalTime>
  <Application>LibreOffice/7.3.7.2$Linux_X86_64 LibreOffice_project/30$Build-2</Application>
  <AppVersion>15.0000</AppVersion>
  <Pages>2</Pages>
  <Words>536</Words>
  <Characters>3460</Characters>
  <CharactersWithSpaces>3986</CharactersWithSpaces>
  <Paragraphs>24</Paragraphs>
  <Company>Bundesverband mittelständische- Wirtschaft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2026-02-16T19:58:04Z</dcterms:created>
  <dc:creator>Holger Mathias Peifer</dc:creator>
  <dc:description/>
  <dc:language>de-DE</dc:language>
  <cp:lastModifiedBy>Holger Mathias Peifer</cp:lastModifiedBy>
  <cp:lastPrinted>2018-01-15T17:10:00Z</cp:lastPrinted>
  <dcterms:modified xsi:type="dcterms:W3CDTF">2026-02-20T18:13:51Z</dcterms:modified>
  <cp:revision>10</cp:revision>
  <dc:subject/>
  <dc:title>Nr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